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13B" w:rsidRPr="00DF3A78" w:rsidRDefault="00F1513B" w:rsidP="00F1513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DF3A7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5B4B9688" wp14:editId="7DDACD3F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6750" cy="7620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DF3A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АДМИНИСТРАЦИЯ</w:t>
      </w: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532ACA" w:rsidRPr="00DF3A78" w:rsidRDefault="00532ACA" w:rsidP="00532A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ГОРОДСКОГО ПОСЕЛЕНИЯ «ПОСЕЛОК ОКТЯБРЬСКИЙ»</w:t>
      </w: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F3A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МУНИЦИПАЛЬНЫЙ РАЙОН «БЕЛГОРОДСКИЙ  РАЙОН»  БЕЛГОРОДСКОЙ  ОБЛАСТИ</w:t>
      </w: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532ACA" w:rsidRPr="00DF3A78" w:rsidRDefault="00532ACA" w:rsidP="00532ACA">
      <w:pPr>
        <w:tabs>
          <w:tab w:val="left" w:pos="1006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П О С Т А Н О В Л Е Н И Е</w:t>
      </w: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u w:val="single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«19» декабря 2019 г.</w:t>
      </w:r>
      <w:r w:rsidRPr="00DF3A7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ab/>
      </w:r>
      <w:r w:rsidRPr="00DF3A7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ab/>
      </w:r>
      <w:r w:rsidRPr="00DF3A7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ab/>
      </w:r>
      <w:r w:rsidRPr="00DF3A7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ab/>
        <w:t xml:space="preserve">           </w:t>
      </w:r>
      <w:r w:rsidRPr="00DF3A7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ab/>
        <w:t xml:space="preserve">                                 № 12</w:t>
      </w:r>
      <w:r w:rsidR="009C2E0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1</w:t>
      </w:r>
    </w:p>
    <w:p w:rsidR="00E646D9" w:rsidRPr="00DF3A78" w:rsidRDefault="00E646D9" w:rsidP="00F1513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1513B" w:rsidRPr="00DF3A78" w:rsidRDefault="00F1513B" w:rsidP="00F1513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Порядка определения мест сбора и накопления твердых коммунальных отходов на территории </w:t>
      </w:r>
      <w:r w:rsidR="00532ACA"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городского поселения «Поселок Октябрьский»</w:t>
      </w: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Регламента создания и ведения реестра мест (площадок) накопления твердых коммунальных отходов на территории </w:t>
      </w:r>
      <w:r w:rsidR="00532ACA"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городского поселения «Поселок Октябрьский»</w:t>
      </w:r>
    </w:p>
    <w:p w:rsidR="00F1513B" w:rsidRPr="00DF3A78" w:rsidRDefault="00F1513B" w:rsidP="00F15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1513B" w:rsidRPr="00DF3A78" w:rsidRDefault="00F1513B" w:rsidP="00F1513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DF3A7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области, в целях упорядочения обустройства мест (площадок) накопления твёрдых коммунальных отходов и ведения их реестра на территории 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постановляет:</w:t>
      </w:r>
    </w:p>
    <w:p w:rsidR="00F1513B" w:rsidRPr="00DF3A78" w:rsidRDefault="00F1513B" w:rsidP="00F1513B">
      <w:pPr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Утвердить Порядок определения мест сбора и накопления твердых коммунальных отходов на территории </w:t>
      </w:r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(прилагается).</w:t>
      </w:r>
    </w:p>
    <w:p w:rsidR="00F1513B" w:rsidRPr="00DF3A78" w:rsidRDefault="00F1513B" w:rsidP="00F1513B">
      <w:pPr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(прилагается).</w:t>
      </w:r>
    </w:p>
    <w:p w:rsidR="00F1513B" w:rsidRPr="00DF3A78" w:rsidRDefault="00F1513B" w:rsidP="00F1513B">
      <w:pPr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(прилагается).</w:t>
      </w:r>
    </w:p>
    <w:p w:rsidR="00F1513B" w:rsidRPr="00DF3A78" w:rsidRDefault="00F1513B" w:rsidP="00F1513B">
      <w:pPr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Утвердить Регламент создания и ведения реестра мест (площадок) накопления твердых коммунальных отходов на территории </w:t>
      </w:r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(прилагается).</w:t>
      </w:r>
    </w:p>
    <w:p w:rsidR="00F1513B" w:rsidRPr="00DF3A78" w:rsidRDefault="00F1513B" w:rsidP="00F1513B">
      <w:pPr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5. Обнародовать настоящее постановление и разместить на официальном сайте органов местного самоуправления </w:t>
      </w:r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E646D9" w:rsidRPr="00DF3A78" w:rsidRDefault="00E646D9" w:rsidP="00F1513B">
      <w:pPr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Настоящее постановление вступает в силу со дня его официального обнародования.</w:t>
      </w:r>
    </w:p>
    <w:p w:rsidR="00F1513B" w:rsidRPr="00DF3A78" w:rsidRDefault="00E646D9" w:rsidP="00F1513B">
      <w:pPr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F1513B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распоряжения возложить </w:t>
      </w:r>
      <w:proofErr w:type="gramStart"/>
      <w:r w:rsidR="00F1513B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 </w:t>
      </w:r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заместителя</w:t>
      </w:r>
      <w:proofErr w:type="gramEnd"/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главы по благоустройству </w:t>
      </w:r>
      <w:r w:rsidR="00F1513B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="00F1513B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Абаньшина</w:t>
      </w:r>
      <w:proofErr w:type="spellEnd"/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С.И.</w:t>
      </w:r>
      <w:r w:rsidR="00F1513B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F1513B" w:rsidRPr="00DF3A78" w:rsidRDefault="00F1513B" w:rsidP="00F1513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1513B" w:rsidRPr="00DF3A78" w:rsidRDefault="00F1513B" w:rsidP="00F1513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32ACA" w:rsidRPr="00DF3A78" w:rsidRDefault="00532ACA" w:rsidP="00532AC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F1513B"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Глава  администрации</w:t>
      </w:r>
      <w:proofErr w:type="gramEnd"/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городского</w:t>
      </w:r>
    </w:p>
    <w:p w:rsidR="00A41FBD" w:rsidRPr="00DF3A78" w:rsidRDefault="00532ACA" w:rsidP="00532AC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 «Поселок Октябрьский»                                                  А.А. Дукмас</w:t>
      </w:r>
    </w:p>
    <w:p w:rsidR="00A41FBD" w:rsidRPr="00DF3A78" w:rsidRDefault="00A41FBD" w:rsidP="00A41F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717865" w:rsidRPr="00DF3A78" w:rsidRDefault="00717865" w:rsidP="00A41FB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color w:val="000000" w:themeColor="text1"/>
          <w:sz w:val="24"/>
          <w:szCs w:val="24"/>
        </w:rPr>
      </w:pPr>
    </w:p>
    <w:p w:rsidR="00717865" w:rsidRPr="00DF3A78" w:rsidRDefault="00717865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ACA" w:rsidRPr="00DF3A78" w:rsidRDefault="00532ACA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ACA" w:rsidRPr="00DF3A78" w:rsidRDefault="00532ACA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302013" w:rsidRPr="00DF3A78" w:rsidTr="00302013">
        <w:tc>
          <w:tcPr>
            <w:tcW w:w="4671" w:type="dxa"/>
          </w:tcPr>
          <w:p w:rsidR="00302013" w:rsidRPr="00DF3A78" w:rsidRDefault="0030201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:rsidR="00302013" w:rsidRPr="00DF3A78" w:rsidRDefault="00302013" w:rsidP="003020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</w:t>
            </w:r>
            <w:r w:rsidR="00532ACA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Ё</w:t>
            </w: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</w:p>
          <w:p w:rsidR="00302013" w:rsidRPr="00DF3A78" w:rsidRDefault="00302013" w:rsidP="003020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532ACA" w:rsidRPr="00DF3A78" w:rsidRDefault="00532ACA" w:rsidP="003020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городского поселения </w:t>
            </w:r>
          </w:p>
          <w:p w:rsidR="00302013" w:rsidRPr="00DF3A78" w:rsidRDefault="00532ACA" w:rsidP="003020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«Поселок Октябрьский»</w:t>
            </w:r>
          </w:p>
          <w:p w:rsidR="00302013" w:rsidRPr="00DF3A78" w:rsidRDefault="001E44D2" w:rsidP="009C2E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302013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19 декабря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302013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2019 г.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12</w:t>
            </w:r>
            <w:r w:rsidR="009C2E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865" w:rsidRPr="00DF3A78" w:rsidRDefault="00717865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0B78" w:rsidRPr="00DF3A78" w:rsidRDefault="00E00B78" w:rsidP="00A41FBD">
      <w:pPr>
        <w:spacing w:after="0" w:line="240" w:lineRule="auto"/>
        <w:ind w:left="43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865" w:rsidRPr="00DF3A78" w:rsidRDefault="00717865" w:rsidP="00A41F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</w:t>
      </w:r>
    </w:p>
    <w:p w:rsidR="00717865" w:rsidRPr="00DF3A78" w:rsidRDefault="00717865" w:rsidP="003020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определения мест сбора и накопления твердых ком</w:t>
      </w:r>
      <w:r w:rsidR="00E00B78"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мунальных отходов на территории </w:t>
      </w:r>
      <w:r w:rsidR="00532ACA"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городского поселения «Поселок Октябрьский»</w:t>
      </w:r>
    </w:p>
    <w:p w:rsidR="00302013" w:rsidRPr="00DF3A78" w:rsidRDefault="00302013" w:rsidP="00302013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302013">
      <w:pPr>
        <w:pStyle w:val="ab"/>
        <w:numPr>
          <w:ilvl w:val="0"/>
          <w:numId w:val="18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302013" w:rsidRPr="00DF3A78" w:rsidRDefault="00302013" w:rsidP="00302013">
      <w:pPr>
        <w:pStyle w:val="ab"/>
        <w:ind w:left="64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7865" w:rsidRPr="00DF3A78" w:rsidRDefault="008C1CE6" w:rsidP="008C1C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определения мест сбора и накопления твердых коммунальных отходов на территории 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="00302013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531ADF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17865" w:rsidRPr="00DF3A78" w:rsidRDefault="00717865" w:rsidP="009E57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1.2. 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</w:t>
      </w:r>
      <w:r w:rsidR="009E57F3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ль) подает письменную заявку в К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омисси</w:t>
      </w:r>
      <w:r w:rsidR="009E57F3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96A12" w:rsidRPr="00DF3A78">
        <w:rPr>
          <w:color w:val="000000" w:themeColor="text1"/>
        </w:rPr>
        <w:t xml:space="preserve"> </w:t>
      </w:r>
      <w:r w:rsidR="00596A1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определению мест размещения контейнерных площадок для сбора твердых коммунальных отходов на территории 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="00596A1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Комиссия)</w:t>
      </w:r>
      <w:r w:rsidR="009E57F3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принятия решения о создании мест (площадок) накопления твердых коммунальных отходов и включения их в реестр  </w:t>
      </w:r>
      <w:r w:rsidR="00596A1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мест (площадок) накопления твердых коммунальных отходов на территории</w:t>
      </w:r>
      <w:r w:rsidR="00596A12" w:rsidRPr="00DF3A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32ACA" w:rsidRPr="00DF3A78">
        <w:rPr>
          <w:rFonts w:ascii="Times New Roman" w:hAnsi="Times New Roman" w:cs="Times New Roman"/>
          <w:b/>
          <w:color w:val="000000" w:themeColor="text1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9E57F3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</w:t>
      </w:r>
      <w:r w:rsidR="00596A1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сведения, необходимые для формирования реестра мест накопления ТКО, указанные в части 5 статьи 13.4 Федерального закона от 24 июня 1998</w:t>
      </w:r>
      <w:r w:rsidR="00596A1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89-ФЗ «Об отходах производства </w:t>
      </w:r>
      <w:r w:rsidR="00596A1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и потребления»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E426B" w:rsidRPr="00DF3A78" w:rsidRDefault="009E57F3" w:rsidP="009E57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8C1CE6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Заявка подается в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6A1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8C1CE6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96A1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="008C1CE6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1 к настоящему Порядку</w:t>
      </w:r>
      <w:r w:rsidR="009E426B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7865" w:rsidRPr="00DF3A78" w:rsidRDefault="00717865" w:rsidP="009E57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Рассмотрение заявки, согласование места сбора и накопления ТКО осуществляется Комиссией в срок не позднее 10 календарных дней со дня ее поступления. </w:t>
      </w:r>
    </w:p>
    <w:p w:rsidR="00717865" w:rsidRPr="00DF3A78" w:rsidRDefault="00717865" w:rsidP="009E57F3">
      <w:pPr>
        <w:pStyle w:val="Default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Запрещается самовольная установка контейнеров без согласования с администрацией 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="00CA6B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7865" w:rsidRPr="00DF3A78" w:rsidRDefault="00717865" w:rsidP="009E57F3">
      <w:pPr>
        <w:pStyle w:val="Default"/>
        <w:tabs>
          <w:tab w:val="left" w:pos="1276"/>
        </w:tabs>
        <w:ind w:firstLine="709"/>
        <w:jc w:val="both"/>
        <w:rPr>
          <w:rStyle w:val="af0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717865" w:rsidRPr="00DF3A78" w:rsidRDefault="00717865" w:rsidP="009E57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 Порядок определения мест сбора и накопления твердых коммунальных отходов</w:t>
      </w:r>
    </w:p>
    <w:p w:rsidR="009E57F3" w:rsidRPr="00DF3A78" w:rsidRDefault="009E57F3" w:rsidP="009E57F3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865" w:rsidRPr="00DF3A78" w:rsidRDefault="00717865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 </w:t>
      </w:r>
    </w:p>
    <w:p w:rsidR="00717865" w:rsidRPr="00DF3A78" w:rsidRDefault="00717865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</w:t>
      </w:r>
      <w:r w:rsidR="00BC3AAB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СанПиН 42-128-4690-88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AAB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Санитарные правила содержания территорий населенных мест» и Правилами благоустройства территории </w:t>
      </w:r>
      <w:r w:rsidR="00D6668B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17865" w:rsidRPr="00DF3A78" w:rsidRDefault="00717865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2.3.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</w:t>
      </w:r>
      <w:r w:rsidR="00B37BFD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осить позицию (далее - запрос) </w:t>
      </w:r>
      <w:r w:rsidR="00CA6B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Роспотребнадзора по Белгородской области</w:t>
      </w:r>
      <w:r w:rsidR="00B37BFD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уполномоченного осуществлять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санитарно-эпидемиологический надзор (далее - 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 </w:t>
      </w:r>
    </w:p>
    <w:p w:rsidR="00717865" w:rsidRPr="00DF3A78" w:rsidRDefault="00717865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По результатам рассмотрения заявки Комиссия принимает решение о согласовании или отказе в согласовании создания места для сбора и накопления ТКО. </w:t>
      </w:r>
    </w:p>
    <w:p w:rsidR="00717865" w:rsidRPr="00DF3A78" w:rsidRDefault="00717865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</w:t>
      </w:r>
      <w:r w:rsidR="00B37BFD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A6B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CE6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Порядку. </w:t>
      </w:r>
    </w:p>
    <w:p w:rsidR="00717865" w:rsidRPr="00DF3A78" w:rsidRDefault="00717865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 </w:t>
      </w:r>
    </w:p>
    <w:p w:rsidR="00717865" w:rsidRPr="00DF3A78" w:rsidRDefault="00717865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 </w:t>
      </w:r>
    </w:p>
    <w:p w:rsidR="00717865" w:rsidRPr="00DF3A78" w:rsidRDefault="00717865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 </w:t>
      </w:r>
    </w:p>
    <w:p w:rsidR="00717865" w:rsidRPr="00DF3A78" w:rsidRDefault="00717865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2.9. Основаниями отказа Комиссии в согласовании места для сбора и накопления ТКО являются:</w:t>
      </w:r>
    </w:p>
    <w:p w:rsidR="00717865" w:rsidRPr="00DF3A78" w:rsidRDefault="008C1CE6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несоответствие заявки установленной форме; </w:t>
      </w:r>
    </w:p>
    <w:p w:rsidR="00717865" w:rsidRPr="00DF3A78" w:rsidRDefault="008C1CE6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несоответствие заявленного места для сбора и накопления ТКО требованиям Правил благоустройства территории </w:t>
      </w:r>
      <w:r w:rsidR="00D6668B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 </w:t>
      </w:r>
    </w:p>
    <w:p w:rsidR="00717865" w:rsidRPr="00DF3A78" w:rsidRDefault="00717865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 </w:t>
      </w: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D6668B" w:rsidRPr="00DF3A78" w:rsidRDefault="00D6668B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D6668B" w:rsidRPr="00DF3A78" w:rsidRDefault="00D6668B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D6668B" w:rsidRPr="00DF3A78" w:rsidRDefault="00D6668B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D6668B" w:rsidRPr="00DF3A78" w:rsidRDefault="00D6668B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8C1CE6" w:rsidRPr="00DF3A78" w:rsidTr="008C1CE6">
        <w:tc>
          <w:tcPr>
            <w:tcW w:w="4671" w:type="dxa"/>
          </w:tcPr>
          <w:p w:rsidR="008C1CE6" w:rsidRPr="00DF3A78" w:rsidRDefault="008C1CE6" w:rsidP="00A41FB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:rsidR="008C1CE6" w:rsidRPr="0024725B" w:rsidRDefault="008C1CE6" w:rsidP="008C1CE6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72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ПРИЛОЖЕНИЕ №1</w:t>
            </w:r>
          </w:p>
          <w:p w:rsidR="008C1CE6" w:rsidRPr="0024725B" w:rsidRDefault="008C1CE6" w:rsidP="008C1CE6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72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 Порядку </w:t>
            </w:r>
          </w:p>
          <w:p w:rsidR="008C1CE6" w:rsidRPr="00DF3A78" w:rsidRDefault="008C1CE6" w:rsidP="00A41FB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37BFD" w:rsidRPr="00DF3A78" w:rsidRDefault="008C1CE6" w:rsidP="008C1CE6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«ФОРМА»</w:t>
      </w:r>
    </w:p>
    <w:p w:rsidR="008C1CE6" w:rsidRPr="00DF3A78" w:rsidRDefault="00717865" w:rsidP="00B37BF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896"/>
      </w:tblGrid>
      <w:tr w:rsidR="008C1CE6" w:rsidRPr="00DF3A78" w:rsidTr="008C1CE6">
        <w:tc>
          <w:tcPr>
            <w:tcW w:w="4671" w:type="dxa"/>
          </w:tcPr>
          <w:p w:rsidR="008C1CE6" w:rsidRPr="00DF3A78" w:rsidRDefault="008C1CE6" w:rsidP="00B37BF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:rsidR="008C1CE6" w:rsidRPr="00DF3A78" w:rsidRDefault="008C1CE6" w:rsidP="00DF3A78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 Комиссию</w:t>
            </w:r>
            <w:r w:rsidRPr="00DF3A78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F3A7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по определению мест размещения контейнерных площадок для сбора твердых коммунальных отходов на территории </w:t>
            </w:r>
            <w:r w:rsidR="00D6668B" w:rsidRPr="00DF3A7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</w:t>
            </w:r>
            <w:r w:rsidR="00532ACA" w:rsidRPr="00DF3A7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ородского поселения «Поселок Октябрьский»</w:t>
            </w:r>
          </w:p>
          <w:p w:rsidR="008C1CE6" w:rsidRPr="00DF3A78" w:rsidRDefault="008C1CE6" w:rsidP="008C1C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</w:t>
            </w:r>
          </w:p>
          <w:p w:rsidR="008C1CE6" w:rsidRPr="00DF3A78" w:rsidRDefault="008C1CE6" w:rsidP="008C1C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  <w:p w:rsidR="008C1CE6" w:rsidRPr="00DF3A78" w:rsidRDefault="008C1CE6" w:rsidP="008C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(ФИО, адрес заявителя, телефон)</w:t>
            </w:r>
          </w:p>
        </w:tc>
      </w:tr>
    </w:tbl>
    <w:p w:rsidR="008C1CE6" w:rsidRPr="00DF3A78" w:rsidRDefault="008C1CE6" w:rsidP="00B37BF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865" w:rsidRPr="00DF3A78" w:rsidRDefault="00717865" w:rsidP="00A41F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ЗАЯВКА </w:t>
      </w:r>
    </w:p>
    <w:p w:rsidR="00717865" w:rsidRPr="00DF3A78" w:rsidRDefault="00717865" w:rsidP="00A41F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создании места сбора и накопления ТКО и включения их в реестр</w:t>
      </w:r>
    </w:p>
    <w:p w:rsidR="005A0643" w:rsidRPr="00DF3A78" w:rsidRDefault="005A0643" w:rsidP="00A41FBD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5A0643" w:rsidRPr="00DF3A78" w:rsidTr="005A0643">
        <w:tc>
          <w:tcPr>
            <w:tcW w:w="9569" w:type="dxa"/>
            <w:tcBorders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Заявитель</w:t>
            </w: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DF3A78">
            <w:pPr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</w:rPr>
      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      </w: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5A0643">
            <w:pPr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</w:rPr>
              <w:t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      </w: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5A0643">
            <w:pPr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</w:rPr>
              <w:t>для физических лиц –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      </w:r>
          </w:p>
          <w:p w:rsidR="00DF3A78" w:rsidRPr="00DF3A78" w:rsidRDefault="00DF3A78" w:rsidP="005A0643">
            <w:pPr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прошу согласовать место сбора и накопления ТКО, расположенного по адресу</w:t>
      </w:r>
      <w:r w:rsidR="005A0643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:______________________________________________________________________________________________________________________________</w:t>
      </w:r>
      <w:r w:rsidR="008C1CE6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8C1CE6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</w:t>
      </w:r>
      <w:r w:rsidR="005A0643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8C1CE6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DF3A78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8C1CE6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717865" w:rsidRPr="00DF3A78" w:rsidRDefault="005A0643" w:rsidP="00A41FBD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индекс, почтовый адрес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A0643" w:rsidRPr="00DF3A78" w:rsidRDefault="005A0643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CE6" w:rsidRPr="00DF3A78" w:rsidRDefault="00717865" w:rsidP="008C1C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включить его в реестр мест (площадок) накопления твердых коммунальных отходов на территории </w:t>
      </w:r>
      <w:r w:rsidR="00D6668B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ородского поселения «Поселок Октябрьский»</w:t>
      </w:r>
      <w:r w:rsidR="008C1CE6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7865" w:rsidRPr="00DF3A78" w:rsidRDefault="00717865" w:rsidP="008C1C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0F5BF5" w:rsidRPr="00DF3A78" w:rsidRDefault="000F5BF5" w:rsidP="008C1C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865" w:rsidRPr="00DF3A78" w:rsidRDefault="00717865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 </w:t>
      </w:r>
    </w:p>
    <w:p w:rsidR="00717865" w:rsidRPr="00DF3A78" w:rsidRDefault="005A0643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              (подпись заявителя) </w:t>
      </w:r>
    </w:p>
    <w:p w:rsidR="00717865" w:rsidRPr="00DF3A78" w:rsidRDefault="00717865" w:rsidP="00A41FB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717865" w:rsidRPr="00DF3A78" w:rsidRDefault="00717865" w:rsidP="005A06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F3A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717865" w:rsidRPr="00DF3A78" w:rsidRDefault="00717865" w:rsidP="00A41FB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717865" w:rsidRPr="00DF3A78" w:rsidRDefault="00717865" w:rsidP="00A41FB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F3A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«___» ___________ 20__ го</w:t>
      </w:r>
      <w:r w:rsidR="005A0643" w:rsidRPr="00DF3A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да             </w:t>
      </w:r>
      <w:r w:rsidR="007321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   </w:t>
      </w:r>
      <w:r w:rsidR="005A0643" w:rsidRPr="00DF3A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</w:t>
      </w:r>
      <w:r w:rsidRPr="00DF3A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_________________/ __________/</w:t>
      </w: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865" w:rsidRPr="00DF3A78" w:rsidRDefault="00717865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Приложение: </w:t>
      </w: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</w:t>
      </w:r>
      <w:r w:rsidR="00875826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поселения «Поселок Октябрьский»</w:t>
      </w:r>
      <w:r w:rsidR="008C1CE6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масштаба 1:2000; </w:t>
      </w:r>
    </w:p>
    <w:p w:rsidR="00717865" w:rsidRPr="00DF3A78" w:rsidRDefault="00717865" w:rsidP="005A064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D6668B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ородского поселения «Поселок Октябрьский»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717865" w:rsidRPr="00DF3A78" w:rsidRDefault="00717865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0643" w:rsidRPr="00DF3A78" w:rsidRDefault="005A0643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5A0643" w:rsidRPr="00DF3A78" w:rsidRDefault="005A0643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5A0643" w:rsidRPr="00DF3A78" w:rsidRDefault="005A0643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5A0643" w:rsidRPr="00DF3A78" w:rsidRDefault="005A0643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5A0643" w:rsidRPr="00DF3A78" w:rsidRDefault="005A0643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5A0643" w:rsidRPr="00DF3A78" w:rsidRDefault="005A0643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8329B8" w:rsidRPr="00DF3A78" w:rsidRDefault="008329B8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5A0643" w:rsidRPr="00DF3A78" w:rsidRDefault="005A0643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B908D0" w:rsidRPr="00DF3A78" w:rsidRDefault="00B908D0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B908D0" w:rsidRPr="00DF3A78" w:rsidRDefault="00B908D0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0F5BF5" w:rsidRPr="00DF3A78" w:rsidRDefault="000F5BF5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B908D0" w:rsidRPr="00DF3A78" w:rsidRDefault="00B908D0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B908D0" w:rsidRDefault="00B908D0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7321A8" w:rsidRDefault="007321A8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7321A8" w:rsidRDefault="007321A8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7321A8" w:rsidRDefault="007321A8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7321A8" w:rsidRDefault="007321A8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7321A8" w:rsidRDefault="007321A8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7321A8" w:rsidRPr="00DF3A78" w:rsidRDefault="007321A8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B908D0" w:rsidRPr="00DF3A78" w:rsidRDefault="00B908D0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B908D0" w:rsidRPr="00DF3A78" w:rsidRDefault="00B908D0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5A0643" w:rsidRPr="00DF3A78" w:rsidRDefault="005A0643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0F5BF5" w:rsidRPr="00DF3A78" w:rsidTr="000F5BF5">
        <w:tc>
          <w:tcPr>
            <w:tcW w:w="4671" w:type="dxa"/>
          </w:tcPr>
          <w:p w:rsidR="000F5BF5" w:rsidRPr="00DF3A78" w:rsidRDefault="000F5BF5" w:rsidP="00A41FB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:rsidR="000F5BF5" w:rsidRPr="00DF3A78" w:rsidRDefault="000F5BF5" w:rsidP="000F5BF5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ПРИЛОЖЕНИЕ №2</w:t>
            </w:r>
          </w:p>
          <w:p w:rsidR="000F5BF5" w:rsidRPr="00DF3A78" w:rsidRDefault="0024725B" w:rsidP="000F5BF5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="000F5BF5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Порядку</w:t>
            </w:r>
          </w:p>
          <w:p w:rsidR="000F5BF5" w:rsidRPr="00DF3A78" w:rsidRDefault="000F5BF5" w:rsidP="00A41FB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A0643" w:rsidRPr="00DF3A78" w:rsidRDefault="000F5BF5" w:rsidP="000F5BF5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«ФОРМА»</w:t>
      </w:r>
    </w:p>
    <w:p w:rsidR="000F5BF5" w:rsidRPr="00DF3A78" w:rsidRDefault="000F5BF5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865" w:rsidRPr="00DF3A78" w:rsidRDefault="00717865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УТВЕРЖДАЮ: </w:t>
      </w:r>
    </w:p>
    <w:p w:rsidR="00717865" w:rsidRPr="00DF3A78" w:rsidRDefault="00717865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Комиссии </w:t>
      </w:r>
    </w:p>
    <w:p w:rsidR="00717865" w:rsidRPr="00DF3A78" w:rsidRDefault="00DF3A78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 </w:t>
      </w:r>
    </w:p>
    <w:p w:rsidR="00BC3AAB" w:rsidRPr="00DF3A78" w:rsidRDefault="00BC3AAB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«___»___</w:t>
      </w:r>
      <w:r w:rsidR="00DF3A78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______201_г.</w:t>
      </w:r>
    </w:p>
    <w:p w:rsidR="000F5BF5" w:rsidRPr="00DF3A78" w:rsidRDefault="000F5BF5" w:rsidP="00A41F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7865" w:rsidRPr="00DF3A78" w:rsidRDefault="00717865" w:rsidP="00A41F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 № _______</w:t>
      </w:r>
    </w:p>
    <w:p w:rsidR="000F5BF5" w:rsidRPr="00DF3A78" w:rsidRDefault="00717865" w:rsidP="00A41F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определении места сбора и накопления </w:t>
      </w:r>
    </w:p>
    <w:p w:rsidR="00717865" w:rsidRPr="00DF3A78" w:rsidRDefault="00717865" w:rsidP="00A41F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твердых коммунальных отходов</w:t>
      </w:r>
    </w:p>
    <w:p w:rsidR="005A0643" w:rsidRPr="00DF3A78" w:rsidRDefault="005A0643" w:rsidP="005A064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7865" w:rsidRPr="00DF3A78" w:rsidRDefault="005A0643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_20___г.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DF3A78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_____________________ </w:t>
      </w:r>
    </w:p>
    <w:p w:rsidR="00717865" w:rsidRPr="00DF3A78" w:rsidRDefault="005A0643" w:rsidP="005A0643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3A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</w:t>
      </w:r>
      <w:r w:rsidR="00DF3A78" w:rsidRPr="00DF3A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Pr="00DF3A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</w:t>
      </w:r>
      <w:r w:rsidR="00717865" w:rsidRPr="00DF3A78">
        <w:rPr>
          <w:rFonts w:ascii="Times New Roman" w:hAnsi="Times New Roman" w:cs="Times New Roman"/>
          <w:color w:val="000000" w:themeColor="text1"/>
          <w:sz w:val="20"/>
          <w:szCs w:val="20"/>
        </w:rPr>
        <w:t>место составления</w:t>
      </w:r>
      <w:r w:rsidRPr="00DF3A78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717865" w:rsidRPr="00DF3A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17865" w:rsidRPr="00DF3A78" w:rsidRDefault="00717865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в составе: </w:t>
      </w:r>
    </w:p>
    <w:p w:rsidR="00343E80" w:rsidRPr="00DF3A78" w:rsidRDefault="005A0643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комиссии – ____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717865" w:rsidRPr="00DF3A78" w:rsidRDefault="00717865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 комиссии – _________________________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 </w:t>
      </w:r>
    </w:p>
    <w:p w:rsidR="00717865" w:rsidRPr="00DF3A78" w:rsidRDefault="00717865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Члены комиссии: </w:t>
      </w:r>
    </w:p>
    <w:p w:rsidR="00717865" w:rsidRPr="00DF3A78" w:rsidRDefault="005A0643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 </w:t>
      </w:r>
    </w:p>
    <w:p w:rsidR="00717865" w:rsidRPr="00DF3A78" w:rsidRDefault="00717865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 </w:t>
      </w:r>
    </w:p>
    <w:p w:rsidR="00717865" w:rsidRPr="00DF3A78" w:rsidRDefault="00717865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3. _________________________________________________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 </w:t>
      </w:r>
    </w:p>
    <w:p w:rsidR="00343E80" w:rsidRPr="00DF3A78" w:rsidRDefault="00717865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постановлением администрации </w:t>
      </w:r>
      <w:r w:rsidR="000F5BF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от «__»________ 2019 г.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Порядка определения мест сбора и накопления твердых коммунальных отходов на территории </w:t>
      </w:r>
      <w:r w:rsidR="00D6668B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ородского поселения «Поселок Октябрьский»</w:t>
      </w:r>
      <w:r w:rsidR="00343E8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Регламента создания и ведения реестра мест (площадок) накопления твердых коммунальных отходов на территории </w:t>
      </w:r>
      <w:r w:rsidR="00D6668B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ородского поселения «Поселок Октябрьский»</w:t>
      </w:r>
      <w:r w:rsidR="00343E8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 основании </w:t>
      </w:r>
      <w:r w:rsidR="00343E8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 __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343E8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343E80" w:rsidRPr="00DF3A78" w:rsidRDefault="00343E80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</w:t>
      </w:r>
      <w:r w:rsidR="00D6668B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, произвела осмотр территории предлагаемого места сбора и накопления ТКО по адресу: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</w:t>
      </w:r>
      <w:r w:rsidR="00D6668B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717865" w:rsidRPr="00DF3A78" w:rsidRDefault="00343E80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</w:t>
      </w:r>
      <w:r w:rsidR="00D6668B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43E80" w:rsidRPr="00DF3A78" w:rsidRDefault="00717865" w:rsidP="00343E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принятого Комиссией решения, указанного в протоколе заседа</w:t>
      </w:r>
      <w:r w:rsidR="00343E8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ния комиссии от ________№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_____, определить местом сбора и накопл</w:t>
      </w:r>
      <w:r w:rsidR="00343E8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ения ТКО территорию по адресу:__________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7865" w:rsidRPr="00DF3A78" w:rsidRDefault="00343E80" w:rsidP="00343E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Географические 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координаты: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7865" w:rsidRPr="00DF3A78" w:rsidRDefault="00717865" w:rsidP="00343E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Предлагаем</w:t>
      </w:r>
      <w:r w:rsidR="00343E8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размер земельного участка ___ 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43E8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*___ м, площадью ____ кв.м.</w:t>
      </w:r>
    </w:p>
    <w:p w:rsidR="00717865" w:rsidRPr="00DF3A78" w:rsidRDefault="00717865" w:rsidP="00343E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 схема территории, на которой определено место сбора и накопления ТКО.</w:t>
      </w:r>
    </w:p>
    <w:p w:rsidR="000F5BF5" w:rsidRPr="00DF3A78" w:rsidRDefault="000F5BF5" w:rsidP="00343E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444"/>
        <w:gridCol w:w="113"/>
        <w:gridCol w:w="2392"/>
        <w:gridCol w:w="2167"/>
        <w:gridCol w:w="226"/>
      </w:tblGrid>
      <w:tr w:rsidR="00DF3A78" w:rsidRPr="00DF3A78" w:rsidTr="00343E80">
        <w:tc>
          <w:tcPr>
            <w:tcW w:w="3227" w:type="dxa"/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</w:t>
            </w: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A78" w:rsidRPr="00DF3A78" w:rsidTr="00343E80">
        <w:tc>
          <w:tcPr>
            <w:tcW w:w="3227" w:type="dxa"/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(Ф.И.О.)</w:t>
            </w:r>
          </w:p>
        </w:tc>
      </w:tr>
      <w:tr w:rsidR="00DF3A78" w:rsidRPr="00DF3A78" w:rsidTr="00343E80">
        <w:tc>
          <w:tcPr>
            <w:tcW w:w="3227" w:type="dxa"/>
          </w:tcPr>
          <w:p w:rsidR="00343E80" w:rsidRPr="00DF3A78" w:rsidRDefault="00343E80" w:rsidP="006F30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 комиссии</w:t>
            </w: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A78" w:rsidRPr="00DF3A78" w:rsidTr="00343E80">
        <w:tc>
          <w:tcPr>
            <w:tcW w:w="3227" w:type="dxa"/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(Ф.И.О.)</w:t>
            </w:r>
          </w:p>
        </w:tc>
      </w:tr>
      <w:tr w:rsidR="00DF3A78" w:rsidRPr="00DF3A78" w:rsidTr="00343E80">
        <w:tc>
          <w:tcPr>
            <w:tcW w:w="3227" w:type="dxa"/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комиссии:</w:t>
            </w: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A78" w:rsidRPr="00DF3A78" w:rsidTr="00343E80">
        <w:tc>
          <w:tcPr>
            <w:tcW w:w="3227" w:type="dxa"/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A78" w:rsidRPr="00DF3A78" w:rsidTr="00343E80">
        <w:tc>
          <w:tcPr>
            <w:tcW w:w="3227" w:type="dxa"/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(Ф.И.О.)</w:t>
            </w:r>
          </w:p>
        </w:tc>
      </w:tr>
      <w:tr w:rsidR="00DF3A78" w:rsidRPr="00DF3A78" w:rsidTr="00343E80">
        <w:tc>
          <w:tcPr>
            <w:tcW w:w="3227" w:type="dxa"/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A78" w:rsidRPr="00DF3A78" w:rsidTr="00343E80">
        <w:tc>
          <w:tcPr>
            <w:tcW w:w="3227" w:type="dxa"/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(Ф.И.О.)</w:t>
            </w:r>
          </w:p>
        </w:tc>
      </w:tr>
      <w:tr w:rsidR="00DF3A78" w:rsidRPr="00DF3A78" w:rsidTr="00343E80">
        <w:tc>
          <w:tcPr>
            <w:tcW w:w="3227" w:type="dxa"/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A78" w:rsidRPr="00DF3A78" w:rsidTr="00343E80">
        <w:tc>
          <w:tcPr>
            <w:tcW w:w="3227" w:type="dxa"/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(Ф.И.О.)</w:t>
            </w:r>
          </w:p>
        </w:tc>
      </w:tr>
      <w:tr w:rsidR="00DF3A78" w:rsidRPr="00DF3A78" w:rsidTr="000F5BF5">
        <w:trPr>
          <w:gridAfter w:val="1"/>
          <w:wAfter w:w="226" w:type="dxa"/>
        </w:trPr>
        <w:tc>
          <w:tcPr>
            <w:tcW w:w="4671" w:type="dxa"/>
            <w:gridSpan w:val="2"/>
          </w:tcPr>
          <w:p w:rsidR="000F5BF5" w:rsidRPr="00DF3A78" w:rsidRDefault="000F5BF5" w:rsidP="00A41FB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  <w:gridSpan w:val="3"/>
          </w:tcPr>
          <w:p w:rsidR="000F5BF5" w:rsidRPr="00DF3A78" w:rsidRDefault="000F5BF5" w:rsidP="000F5B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</w:t>
            </w:r>
            <w:r w:rsidR="00D6668B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Ё</w:t>
            </w: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</w:p>
          <w:p w:rsidR="000F5BF5" w:rsidRPr="00DF3A78" w:rsidRDefault="000F5BF5" w:rsidP="000F5B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D6668B" w:rsidRPr="00DF3A78" w:rsidRDefault="00D6668B" w:rsidP="000F5B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r w:rsidR="00532ACA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ородского поселения </w:t>
            </w:r>
          </w:p>
          <w:p w:rsidR="000F5BF5" w:rsidRPr="00DF3A78" w:rsidRDefault="00532ACA" w:rsidP="000F5B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«Поселок Октябрьский»</w:t>
            </w:r>
          </w:p>
          <w:p w:rsidR="000F5BF5" w:rsidRPr="00DF3A78" w:rsidRDefault="000F5BF5" w:rsidP="00247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 </w:t>
            </w:r>
            <w:r w:rsidR="002472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 декабря</w:t>
            </w: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2019 г. №</w:t>
            </w:r>
            <w:r w:rsidR="002472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12</w:t>
            </w:r>
            <w:r w:rsidR="00D925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343E80" w:rsidRPr="00DF3A78" w:rsidRDefault="00343E80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343E80" w:rsidRPr="00DF3A78" w:rsidRDefault="00343E80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343E80" w:rsidRPr="00DF3A78" w:rsidRDefault="00343E80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0F5BF5" w:rsidRPr="00DF3A78" w:rsidRDefault="000F5BF5" w:rsidP="000F5BF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Состав </w:t>
      </w:r>
    </w:p>
    <w:p w:rsidR="00717865" w:rsidRPr="00DF3A78" w:rsidRDefault="000F5BF5" w:rsidP="000F5BF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D6668B"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ородского поселения «Поселок Октябрьский»</w:t>
      </w:r>
    </w:p>
    <w:p w:rsidR="000F5BF5" w:rsidRPr="00DF3A78" w:rsidRDefault="000F5BF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473" w:rsidRPr="00DF3A78" w:rsidRDefault="006D1473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D1473" w:rsidRPr="00DF3A78" w:rsidTr="006D1473">
        <w:tc>
          <w:tcPr>
            <w:tcW w:w="4926" w:type="dxa"/>
          </w:tcPr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6D1473" w:rsidRPr="00DF3A78" w:rsidRDefault="006D1473" w:rsidP="006D147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администрации г</w:t>
            </w:r>
            <w:r w:rsidRPr="00DF3A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ородского поселения «Поселок Октябрьский»</w:t>
            </w:r>
          </w:p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D1473" w:rsidRPr="00DF3A78" w:rsidTr="006D1473">
        <w:tc>
          <w:tcPr>
            <w:tcW w:w="4926" w:type="dxa"/>
          </w:tcPr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927" w:type="dxa"/>
          </w:tcPr>
          <w:p w:rsidR="006D1473" w:rsidRPr="00DF3A78" w:rsidRDefault="006D1473" w:rsidP="006D14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администрации городского поселения «Поселок Октябрьский»</w:t>
            </w:r>
          </w:p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D1473" w:rsidRPr="00DF3A78" w:rsidTr="006D1473">
        <w:tc>
          <w:tcPr>
            <w:tcW w:w="4926" w:type="dxa"/>
          </w:tcPr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6D1473" w:rsidRPr="00DF3A78" w:rsidRDefault="006D1473" w:rsidP="006D14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администрации </w:t>
            </w:r>
          </w:p>
          <w:p w:rsidR="006D1473" w:rsidRPr="00DF3A78" w:rsidRDefault="006D1473" w:rsidP="006D14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(с функционалом: делопроизводство)</w:t>
            </w:r>
            <w:r w:rsidRPr="00DF3A7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x-none" w:eastAsia="en-US"/>
              </w:rPr>
              <w:t xml:space="preserve"> </w:t>
            </w: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поселения «Поселок Октябрьский»</w:t>
            </w:r>
          </w:p>
          <w:p w:rsidR="006D1473" w:rsidRPr="00DF3A78" w:rsidRDefault="006D1473" w:rsidP="006D14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D1473" w:rsidRPr="00DF3A78" w:rsidTr="006D1473">
        <w:tc>
          <w:tcPr>
            <w:tcW w:w="4926" w:type="dxa"/>
          </w:tcPr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4927" w:type="dxa"/>
          </w:tcPr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по благоустройству администрации городского поселения «Поселок Октябрьский»</w:t>
            </w:r>
          </w:p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D1473" w:rsidRPr="00DF3A78" w:rsidTr="006D1473">
        <w:tc>
          <w:tcPr>
            <w:tcW w:w="4926" w:type="dxa"/>
          </w:tcPr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1473" w:rsidRPr="00DF3A78" w:rsidRDefault="006D1473" w:rsidP="006D14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администрации </w:t>
            </w:r>
          </w:p>
          <w:p w:rsidR="006D1473" w:rsidRPr="00DF3A78" w:rsidRDefault="006D1473" w:rsidP="006D14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  <w:t xml:space="preserve">(с функционалом землеустроитель) </w:t>
            </w: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поселения «Поселок Октябрьский»</w:t>
            </w:r>
          </w:p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D1473" w:rsidRPr="00DF3A78" w:rsidTr="006D1473">
        <w:tc>
          <w:tcPr>
            <w:tcW w:w="4926" w:type="dxa"/>
          </w:tcPr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1473" w:rsidRPr="00DF3A78" w:rsidRDefault="006D1473" w:rsidP="006D14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администрации </w:t>
            </w:r>
          </w:p>
          <w:p w:rsidR="006D1473" w:rsidRPr="00DF3A78" w:rsidRDefault="006D1473" w:rsidP="006D14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 функционалом общее руководство уборщиками территории) городского поселения «Поселок Октябрьский»</w:t>
            </w:r>
          </w:p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2CB0" w:rsidRPr="00DF3A78" w:rsidRDefault="000E2CB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2CB0" w:rsidRPr="00DF3A78" w:rsidRDefault="000E2CB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D1473" w:rsidRPr="00DF3A78" w:rsidRDefault="006D1473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0F5BF5" w:rsidRPr="00DF3A78" w:rsidTr="00E0366E">
        <w:tc>
          <w:tcPr>
            <w:tcW w:w="4671" w:type="dxa"/>
          </w:tcPr>
          <w:p w:rsidR="000F5BF5" w:rsidRPr="00DF3A78" w:rsidRDefault="000F5BF5" w:rsidP="00E0366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:rsidR="000F5BF5" w:rsidRPr="00DF3A78" w:rsidRDefault="000F5BF5" w:rsidP="00E03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УТВЕРЖДЕН</w:t>
            </w:r>
            <w:r w:rsidR="00CC30D9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  <w:p w:rsidR="000F5BF5" w:rsidRPr="00DF3A78" w:rsidRDefault="000F5BF5" w:rsidP="00E03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CC30D9" w:rsidRPr="00DF3A78" w:rsidRDefault="00CC30D9" w:rsidP="00E03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r w:rsidR="00532ACA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ородского поселения </w:t>
            </w:r>
          </w:p>
          <w:p w:rsidR="000F5BF5" w:rsidRPr="00DF3A78" w:rsidRDefault="00532ACA" w:rsidP="00E03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«Поселок Октябрьский»</w:t>
            </w:r>
          </w:p>
          <w:p w:rsidR="000F5BF5" w:rsidRPr="00DF3A78" w:rsidRDefault="000F5BF5" w:rsidP="00247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 </w:t>
            </w:r>
            <w:r w:rsidR="002472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 декабря</w:t>
            </w: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2019 г. №</w:t>
            </w:r>
            <w:r w:rsidR="002472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12</w:t>
            </w:r>
            <w:r w:rsidR="00D925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0F5BF5" w:rsidRPr="00DF3A78" w:rsidRDefault="000F5BF5" w:rsidP="000F5BF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717865" w:rsidRPr="00DF3A78" w:rsidRDefault="000F5BF5" w:rsidP="000F5BF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 постоянно действующей комиссии по определению мест размещения контейнерных площадок для сбора ТКО на территории </w:t>
      </w:r>
      <w:r w:rsidR="00CC30D9"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ородского поселения «Поселок Октябрьский»</w:t>
      </w:r>
    </w:p>
    <w:p w:rsidR="000F5BF5" w:rsidRPr="00DF3A78" w:rsidRDefault="000F5BF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865" w:rsidRPr="00DF3A78" w:rsidRDefault="00717865" w:rsidP="00EF06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F5BF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действующая комиссия по определению мест размещения контейнерных площадок для сбора ТКО на территории </w:t>
      </w:r>
      <w:r w:rsidR="00E0366E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30464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30464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Комиссия) является коллегиальным органом администрации </w:t>
      </w:r>
      <w:r w:rsidR="00E0366E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0F5BF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464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создается с целью рассмотрения вопросов, касающихся определения мест</w:t>
      </w:r>
      <w:r w:rsidR="0030464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(площадок) накопления ТКО на территории </w:t>
      </w:r>
      <w:r w:rsidR="00CC30D9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, принятия решения о согласовании или отказе в согласовании создания</w:t>
      </w:r>
      <w:r w:rsidR="0030464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места (площадки) накопления ТКО и принятия решения о включении сведений о</w:t>
      </w:r>
      <w:r w:rsidR="0030464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месте (площадке) накопления ТКО в реестр мест (площадок) накопления твердых</w:t>
      </w:r>
      <w:r w:rsidR="0030464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коммунальных отходов (далее –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Реестр).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r w:rsidR="00CC30D9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C54F94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, правилами благоустройства</w:t>
      </w:r>
      <w:r w:rsidR="0030464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66E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настоящим Положением.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Комиссия в соответствии с возложенными на нее задачами выполняет следующие функции: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рассмотрение заявлений и обращений граждан и юридических лиц по вопросу определения мест сбора и накопления ТКО;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организация в случае необходимости выездов на предполагаемые места сбора и накопления ТКО с целью их дальнейшего согласования;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внесение предложений, направленных на определение мест для сбора и накопления ТКО;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заявителя о принятом решении Комиссия.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4. Комиссия состоит из председателя, заместителя председателя, секретаря и членов комиссии.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Организацию работы Комиссии определяет председатель Комиссии.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 </w:t>
      </w:r>
    </w:p>
    <w:p w:rsidR="00717865" w:rsidRPr="00DF3A78" w:rsidRDefault="00717865" w:rsidP="00EF06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комиссии, направлять запросы в надзорный орган, уполномоченный</w:t>
      </w:r>
      <w:r w:rsidR="0030464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государственный</w:t>
      </w:r>
      <w:r w:rsidR="0030464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Заседания Комиссии проводятся по мере необходимости.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Комиссия правомочна принимать решения при участии в ее работе не менее половины от общего числа ее членов.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Решение об определении места для сбора и накопления ТКО принимается простым большинством голосов присутствующих членов Комиссии. При равенстве голосов, голос председателя Комиссии является решающим.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</w:t>
      </w:r>
      <w:r w:rsidR="00E0366E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C54F94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специалисту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</w:t>
      </w:r>
      <w:r w:rsidR="00C54F94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ведение данного реестра не позднее одного рабочего дня со дня его утверждения.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14. 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администраци</w:t>
      </w:r>
      <w:r w:rsidR="00C54F94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66E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C54F94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ведения реестра, подготовка и отправка уведомлений заявителям о принятых решениях комиссии возлагается на секретаря Комиссии. </w:t>
      </w: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C54F94" w:rsidRPr="00DF3A78" w:rsidRDefault="00C54F94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C54F94" w:rsidRPr="00DF3A78" w:rsidRDefault="00C54F94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C54F94" w:rsidRPr="00DF3A78" w:rsidTr="00E0366E">
        <w:tc>
          <w:tcPr>
            <w:tcW w:w="4671" w:type="dxa"/>
          </w:tcPr>
          <w:p w:rsidR="00C54F94" w:rsidRPr="00DF3A78" w:rsidRDefault="00C54F94" w:rsidP="00E0366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:rsidR="00C54F94" w:rsidRPr="00DF3A78" w:rsidRDefault="00C54F94" w:rsidP="00E03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</w:t>
            </w:r>
            <w:r w:rsidR="00E0366E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Ё</w:t>
            </w: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</w:p>
          <w:p w:rsidR="00C54F94" w:rsidRPr="00DF3A78" w:rsidRDefault="00C54F94" w:rsidP="00E03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E0366E" w:rsidRPr="00DF3A78" w:rsidRDefault="00E0366E" w:rsidP="00E03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r w:rsidR="00532ACA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ородского поселения </w:t>
            </w:r>
          </w:p>
          <w:p w:rsidR="00C54F94" w:rsidRPr="00DF3A78" w:rsidRDefault="00532ACA" w:rsidP="00E03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«Поселок Октябрьский»</w:t>
            </w:r>
          </w:p>
          <w:p w:rsidR="00C54F94" w:rsidRPr="00DF3A78" w:rsidRDefault="00C54F94" w:rsidP="00247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 </w:t>
            </w:r>
            <w:r w:rsidR="002472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 декабря</w:t>
            </w: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2019 г. №</w:t>
            </w:r>
            <w:r w:rsidR="002472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12</w:t>
            </w:r>
            <w:r w:rsidR="007C21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54F94" w:rsidRPr="00DF3A78" w:rsidRDefault="00C54F94" w:rsidP="00C54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Регламент</w:t>
      </w:r>
    </w:p>
    <w:p w:rsidR="00C54F94" w:rsidRPr="00DF3A78" w:rsidRDefault="00C54F94" w:rsidP="00C54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создания и ведения реестра мест (площадок) накопления твердых коммунальных отходов на территории</w:t>
      </w:r>
    </w:p>
    <w:p w:rsidR="0030464A" w:rsidRPr="00DF3A78" w:rsidRDefault="00C54F94" w:rsidP="00C54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0366E"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ородского поселения «Поселок Октябрьский»</w:t>
      </w:r>
    </w:p>
    <w:p w:rsidR="00C54F94" w:rsidRPr="00DF3A78" w:rsidRDefault="00C54F94" w:rsidP="00C54F9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64A" w:rsidRPr="00DF3A78" w:rsidRDefault="00EF0642" w:rsidP="00EF064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717865"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717865" w:rsidRPr="00DF3A78" w:rsidRDefault="00717865" w:rsidP="00EF064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Создание и ведение реестра мест (площадок) накопления твердых коммунальных отходов на территории </w:t>
      </w:r>
      <w:r w:rsidR="0019101D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C54F94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64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Р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еестр) в соответствии с постановлением Правительства Российской Федерации от 31 августа 2018г. № 1039 «Об утверждении правил обустройства мест (площадок) накопления твердых коммунальных отходов и ведения их реестра» </w:t>
      </w:r>
      <w:r w:rsidR="00C54F94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администрацией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01D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C54F94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7865" w:rsidRPr="00DF3A78" w:rsidRDefault="00717865" w:rsidP="00EF064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 </w:t>
      </w:r>
    </w:p>
    <w:p w:rsidR="00717865" w:rsidRPr="00DF3A78" w:rsidRDefault="00717865" w:rsidP="00EF064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1.3. Уполномоченным органом по созданию и ведени</w:t>
      </w:r>
      <w:r w:rsidR="00EF064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реестра является администрация </w:t>
      </w:r>
      <w:r w:rsidR="0019101D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C54F94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64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А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дминистрация). </w:t>
      </w:r>
    </w:p>
    <w:p w:rsidR="00717865" w:rsidRPr="00DF3A78" w:rsidRDefault="00717865" w:rsidP="00EF064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Реестр </w:t>
      </w:r>
      <w:r w:rsidR="00EF064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создается и ведется на основании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поступивших в </w:t>
      </w:r>
      <w:r w:rsidR="00EF064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дминистрацию для включения в реестр утвержденных Актов об определении места сбора и накопления твердых коммунальных отходов на территории </w:t>
      </w:r>
      <w:r w:rsidR="0019101D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7865" w:rsidRPr="00DF3A78" w:rsidRDefault="00717865" w:rsidP="00EF064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Реестр ведется на государственном языке Российской Федерации. </w:t>
      </w:r>
    </w:p>
    <w:p w:rsidR="00717865" w:rsidRPr="00DF3A78" w:rsidRDefault="00717865" w:rsidP="0030464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F94" w:rsidRPr="00DF3A78" w:rsidRDefault="00717865" w:rsidP="00C54F94">
      <w:pPr>
        <w:pStyle w:val="ab"/>
        <w:numPr>
          <w:ilvl w:val="0"/>
          <w:numId w:val="18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Содержание реестра мест (площадок) </w:t>
      </w:r>
      <w:r w:rsidR="00EF0642"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накопления твердых коммунальных </w:t>
      </w: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отходов на территории</w:t>
      </w:r>
    </w:p>
    <w:p w:rsidR="00EF0642" w:rsidRPr="00DF3A78" w:rsidRDefault="0019101D" w:rsidP="00C54F94">
      <w:pPr>
        <w:pStyle w:val="ab"/>
        <w:ind w:left="64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ородского поселения «Поселок Октябрьский»</w:t>
      </w:r>
    </w:p>
    <w:p w:rsidR="00C54F94" w:rsidRPr="00DF3A78" w:rsidRDefault="00C54F94" w:rsidP="00C54F94">
      <w:pPr>
        <w:pStyle w:val="ab"/>
        <w:ind w:left="64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2.1. В соответствии с пунктом 5 статьи 13.4 Федерального закона от 24 июня 1998г. № 89-ФЗ «Об отход</w:t>
      </w:r>
      <w:r w:rsidR="00EF064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ах производства и потребления» Р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еестр включает в себя следующие разделы: </w:t>
      </w: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2.1.1. Данные о нахождении мест (площадок) накопления твердых коммунальных отходов, в том числе: </w:t>
      </w: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 об адресе и (или) географических координатах мест (площадок) накопления твердых коммунальных отходов; </w:t>
      </w: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19101D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EF064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масштаба 1:2000.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2.1.2. Данные о технических характеристиках мест (площадок) накопления твердых коммунальных отходов, в том числе: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комиссией по определению мест размещения контейнерных площадок для сбора ТКО на территории </w:t>
      </w:r>
      <w:r w:rsidR="0019101D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Комиссия)</w:t>
      </w:r>
      <w:r w:rsidR="00EF064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Данные о собственниках мест (площадок) накопления твердых коммунальных отходов, содержащие сведения: </w:t>
      </w: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комиссии по определению мест размещения контейнерных площадок для сбора ТКО на территории </w:t>
      </w:r>
      <w:r w:rsidR="0019101D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осуществлении деятельности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717865" w:rsidRPr="00DF3A78" w:rsidRDefault="00717865" w:rsidP="0030464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000" w:rsidRPr="00DF3A78" w:rsidRDefault="00717865" w:rsidP="006F300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B567B1"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внесения сведений в Реестр</w:t>
      </w:r>
    </w:p>
    <w:p w:rsidR="008329B8" w:rsidRPr="00DF3A78" w:rsidRDefault="008329B8" w:rsidP="006F300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865" w:rsidRPr="00DF3A78" w:rsidRDefault="006F3000" w:rsidP="00832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 </w:t>
      </w:r>
    </w:p>
    <w:p w:rsidR="006F3000" w:rsidRPr="00DF3A78" w:rsidRDefault="00717865" w:rsidP="006F300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6F3000"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Публикац</w:t>
      </w:r>
      <w:r w:rsidR="00B567B1"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ия Реестра на официальном сайте</w:t>
      </w:r>
    </w:p>
    <w:p w:rsidR="006F3000" w:rsidRPr="00DF3A78" w:rsidRDefault="006F3000" w:rsidP="006F300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865" w:rsidRPr="00DF3A78" w:rsidRDefault="006F3000" w:rsidP="008329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дминистрацией на официальном сайте 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</w:t>
      </w:r>
      <w:r w:rsidR="001457A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«Белгородский район»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6F3000" w:rsidRPr="00DF3A78" w:rsidRDefault="006F3000" w:rsidP="00304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9B8" w:rsidRPr="00DF3A78" w:rsidRDefault="00717865" w:rsidP="00832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6F3000"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Случаи создания мест (площадок) </w:t>
      </w:r>
    </w:p>
    <w:p w:rsidR="006F3000" w:rsidRPr="00DF3A78" w:rsidRDefault="006F3000" w:rsidP="00832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накопления твердых коммунальных отходов</w:t>
      </w:r>
    </w:p>
    <w:p w:rsidR="006F3000" w:rsidRPr="00DF3A78" w:rsidRDefault="006F3000" w:rsidP="00304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865" w:rsidRPr="00DF3A78" w:rsidRDefault="006F3000" w:rsidP="00832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место (площадка) накопления твердых коммунальных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отходов создано 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Никольским сельским поселением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 законодательством Российской Федерации случаев, когда такая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 лежит на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лицах) в соответствии с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2.1. и 2.2. Порядка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создания мест (площадок) накопления твердых коммунальных отходов на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="000E2CB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таком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месте (площадке) накопления твердых коммунальных отходов подлежат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включению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 в срок не позднее 3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со дня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 его создании.</w:t>
      </w:r>
    </w:p>
    <w:p w:rsidR="00717865" w:rsidRPr="00DF3A78" w:rsidRDefault="008329B8" w:rsidP="00832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если место (площадка) накопления твердых коммунальных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отходов создано Заявителем, Заявитель не позднее 3 рабочих дней со дня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начала его использования направляе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 Комиссию заявку 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создании места сбора и накопления ТКО и включения их в реестр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по форме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приложением к Порядку</w:t>
      </w:r>
      <w:r w:rsidR="00B567B1" w:rsidRPr="00DF3A78">
        <w:rPr>
          <w:color w:val="000000" w:themeColor="text1"/>
        </w:rPr>
        <w:t xml:space="preserve"> 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мест сбора и накопления твердых коммунальных отходов на территории </w:t>
      </w:r>
      <w:r w:rsidR="000E2CB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29B8" w:rsidRPr="00DF3A78" w:rsidRDefault="008329B8" w:rsidP="006F3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9B8" w:rsidRPr="00DF3A78" w:rsidRDefault="008329B8" w:rsidP="00832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Рассмотрение заявок </w:t>
      </w:r>
      <w:r w:rsidR="00B567B1"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создании места сбора и накопления ТКО и включения их в реестр</w:t>
      </w:r>
    </w:p>
    <w:p w:rsidR="008329B8" w:rsidRPr="00DF3A78" w:rsidRDefault="008329B8" w:rsidP="00832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865" w:rsidRPr="00DF3A78" w:rsidRDefault="008329B8" w:rsidP="008329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6.1.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Рассмотрение заявки 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места сбора и накопления ТКО и включения их в реестр  (далее</w:t>
      </w:r>
      <w:r w:rsidR="000E2CB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заявка) 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10 рабочих дней со дня ее получения.</w:t>
      </w:r>
    </w:p>
    <w:p w:rsidR="00717865" w:rsidRPr="00DF3A78" w:rsidRDefault="008329B8" w:rsidP="008329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6.2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рассмотрения заявки Комиссия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включении сведений о месте (площадке) накопления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твердых коммунальных отходов в Реестр или об отказе во включении таких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в Реестр.</w:t>
      </w:r>
    </w:p>
    <w:p w:rsidR="00717865" w:rsidRPr="00DF3A78" w:rsidRDefault="008329B8" w:rsidP="008329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6.3.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об отказе во включении сведений о месте (площадке)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 твердых коммунальных отходов в Реестр принимается в следующих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случаях:</w:t>
      </w:r>
    </w:p>
    <w:p w:rsidR="00717865" w:rsidRPr="00DF3A78" w:rsidRDefault="00B567B1" w:rsidP="008329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несоответствие заявки о включении сведений о месте (площадке)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 твердых коммунальных отходов в Реестр установленной форме;</w:t>
      </w:r>
    </w:p>
    <w:p w:rsidR="00717865" w:rsidRPr="00DF3A78" w:rsidRDefault="00B567B1" w:rsidP="008329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в заявке о включении сведений о месте (площадке) накопления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твердых коммунальных отходов в Реестр недостоверной информации;</w:t>
      </w:r>
    </w:p>
    <w:p w:rsidR="00717865" w:rsidRPr="00DF3A78" w:rsidRDefault="00B567B1" w:rsidP="008329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согласования уполномоченным органом создания места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(площадки) накопления твердых коммунальных отходов.</w:t>
      </w:r>
    </w:p>
    <w:p w:rsidR="00717865" w:rsidRPr="00DF3A78" w:rsidRDefault="008329B8" w:rsidP="008329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6.4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 В решении об отказе во включении сведений о месте (площадке)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 твердых коммунальных отходов в Реестр в обязательном порядке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указывается основание такого отказа.</w:t>
      </w:r>
    </w:p>
    <w:p w:rsidR="00717865" w:rsidRPr="00DF3A78" w:rsidRDefault="008329B8" w:rsidP="008329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6.5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 Комиссия уведомляет Заявителя о принятом Комиссией решении в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течение 3 рабочих дней со дня его принятия.</w:t>
      </w:r>
    </w:p>
    <w:p w:rsidR="00717865" w:rsidRPr="00DF3A78" w:rsidRDefault="008329B8" w:rsidP="008329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6.6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 После устранения основания отказа, но не позднее 30 дней со дня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решения об отказе во включении сведений о месте (площадке)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 твердых коммунальных отходов в Реестр Заявитель вправе повторно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в Комиссию с заявкой о включении сведений о месте (площадке)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 твердых коммунальных отходов в Реестр. Заявка, поступившая в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Комиссию, повторно рассматривается ей в соответствии с настоящим Порядком.</w:t>
      </w:r>
    </w:p>
    <w:p w:rsidR="00717865" w:rsidRPr="00DF3A78" w:rsidRDefault="008329B8" w:rsidP="008329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6.7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Заявитель обязан сообщать в 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любых изменениях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сведений, содержащихся в Реестре, в срок не позднее 5 рабочих дней со дня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наступления таких изменений пут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направления соответствующего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извещения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носителе.</w:t>
      </w:r>
    </w:p>
    <w:p w:rsidR="00717865" w:rsidRPr="00DF3A78" w:rsidRDefault="008329B8" w:rsidP="008329B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6.8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исполнения мероприятий по созданию и веде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нию реестра обеспечивает глава А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дминистрации.</w:t>
      </w:r>
    </w:p>
    <w:sectPr w:rsidR="00717865" w:rsidRPr="00DF3A78" w:rsidSect="00532ACA">
      <w:headerReference w:type="default" r:id="rId9"/>
      <w:headerReference w:type="first" r:id="rId10"/>
      <w:pgSz w:w="11905" w:h="16837"/>
      <w:pgMar w:top="1134" w:right="567" w:bottom="1134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C64" w:rsidRDefault="00B16C64" w:rsidP="005D01E1">
      <w:pPr>
        <w:spacing w:after="0" w:line="240" w:lineRule="auto"/>
      </w:pPr>
      <w:r>
        <w:separator/>
      </w:r>
    </w:p>
  </w:endnote>
  <w:endnote w:type="continuationSeparator" w:id="0">
    <w:p w:rsidR="00B16C64" w:rsidRDefault="00B16C64" w:rsidP="005D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C64" w:rsidRDefault="00B16C64" w:rsidP="005D01E1">
      <w:pPr>
        <w:spacing w:after="0" w:line="240" w:lineRule="auto"/>
      </w:pPr>
      <w:r>
        <w:separator/>
      </w:r>
    </w:p>
  </w:footnote>
  <w:footnote w:type="continuationSeparator" w:id="0">
    <w:p w:rsidR="00B16C64" w:rsidRDefault="00B16C64" w:rsidP="005D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3353724"/>
      <w:docPartObj>
        <w:docPartGallery w:val="Page Numbers (Top of Page)"/>
        <w:docPartUnique/>
      </w:docPartObj>
    </w:sdtPr>
    <w:sdtEndPr/>
    <w:sdtContent>
      <w:p w:rsidR="00E0366E" w:rsidRDefault="00E036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E0B">
          <w:rPr>
            <w:noProof/>
          </w:rPr>
          <w:t>2</w:t>
        </w:r>
        <w:r>
          <w:fldChar w:fldCharType="end"/>
        </w:r>
      </w:p>
    </w:sdtContent>
  </w:sdt>
  <w:p w:rsidR="00E0366E" w:rsidRDefault="00E036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66E" w:rsidRDefault="00E0366E" w:rsidP="00A41FB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F40A70"/>
    <w:multiLevelType w:val="multilevel"/>
    <w:tmpl w:val="86D04A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4" w15:restartNumberingAfterBreak="0">
    <w:nsid w:val="311C411D"/>
    <w:multiLevelType w:val="hybridMultilevel"/>
    <w:tmpl w:val="3DF2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94057"/>
    <w:multiLevelType w:val="hybridMultilevel"/>
    <w:tmpl w:val="2E42208C"/>
    <w:lvl w:ilvl="0" w:tplc="5D5E66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E96884"/>
    <w:multiLevelType w:val="hybridMultilevel"/>
    <w:tmpl w:val="DC06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87088B"/>
    <w:multiLevelType w:val="hybridMultilevel"/>
    <w:tmpl w:val="CB2AB230"/>
    <w:lvl w:ilvl="0" w:tplc="6290C8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B105951"/>
    <w:multiLevelType w:val="singleLevel"/>
    <w:tmpl w:val="8DD241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1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7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865"/>
    <w:rsid w:val="00067E5B"/>
    <w:rsid w:val="000E2CB0"/>
    <w:rsid w:val="000F5BF5"/>
    <w:rsid w:val="00135E89"/>
    <w:rsid w:val="001457AA"/>
    <w:rsid w:val="0019101D"/>
    <w:rsid w:val="001E44D2"/>
    <w:rsid w:val="00203B36"/>
    <w:rsid w:val="00226C6B"/>
    <w:rsid w:val="0023218B"/>
    <w:rsid w:val="0023674C"/>
    <w:rsid w:val="0024725B"/>
    <w:rsid w:val="00302013"/>
    <w:rsid w:val="0030464A"/>
    <w:rsid w:val="00343E80"/>
    <w:rsid w:val="00531ADF"/>
    <w:rsid w:val="00532ACA"/>
    <w:rsid w:val="00596A12"/>
    <w:rsid w:val="005A0643"/>
    <w:rsid w:val="005D01E1"/>
    <w:rsid w:val="005D5ED6"/>
    <w:rsid w:val="00607488"/>
    <w:rsid w:val="0066683A"/>
    <w:rsid w:val="0069313A"/>
    <w:rsid w:val="006A0000"/>
    <w:rsid w:val="006C3933"/>
    <w:rsid w:val="006D1473"/>
    <w:rsid w:val="006D4A54"/>
    <w:rsid w:val="006F3000"/>
    <w:rsid w:val="00717865"/>
    <w:rsid w:val="007321A8"/>
    <w:rsid w:val="007C2142"/>
    <w:rsid w:val="00825C7E"/>
    <w:rsid w:val="008329B8"/>
    <w:rsid w:val="00842B65"/>
    <w:rsid w:val="008612C9"/>
    <w:rsid w:val="00875826"/>
    <w:rsid w:val="008836D9"/>
    <w:rsid w:val="008C1CE6"/>
    <w:rsid w:val="0091242E"/>
    <w:rsid w:val="009131AE"/>
    <w:rsid w:val="00961E42"/>
    <w:rsid w:val="009C2E0B"/>
    <w:rsid w:val="009E426B"/>
    <w:rsid w:val="009E57F3"/>
    <w:rsid w:val="00A41FBD"/>
    <w:rsid w:val="00AD5593"/>
    <w:rsid w:val="00AE18EE"/>
    <w:rsid w:val="00B16C64"/>
    <w:rsid w:val="00B37BFD"/>
    <w:rsid w:val="00B567B1"/>
    <w:rsid w:val="00B908D0"/>
    <w:rsid w:val="00BA2C84"/>
    <w:rsid w:val="00BC3AAB"/>
    <w:rsid w:val="00BF70FC"/>
    <w:rsid w:val="00C26D70"/>
    <w:rsid w:val="00C54F94"/>
    <w:rsid w:val="00C73F56"/>
    <w:rsid w:val="00C852F7"/>
    <w:rsid w:val="00CA6BCA"/>
    <w:rsid w:val="00CC30D9"/>
    <w:rsid w:val="00D14F5B"/>
    <w:rsid w:val="00D239F0"/>
    <w:rsid w:val="00D6668B"/>
    <w:rsid w:val="00D9251C"/>
    <w:rsid w:val="00DE0592"/>
    <w:rsid w:val="00DF3A78"/>
    <w:rsid w:val="00E00B78"/>
    <w:rsid w:val="00E0366E"/>
    <w:rsid w:val="00E646D9"/>
    <w:rsid w:val="00EF0642"/>
    <w:rsid w:val="00F1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D8CD"/>
  <w15:docId w15:val="{A6976EA7-8754-47C5-8F9B-B58CE4EC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7865"/>
    <w:rPr>
      <w:color w:val="0066CC"/>
      <w:u w:val="single"/>
    </w:rPr>
  </w:style>
  <w:style w:type="character" w:customStyle="1" w:styleId="a4">
    <w:name w:val="Основной текст_"/>
    <w:link w:val="1"/>
    <w:rsid w:val="007178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17865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717865"/>
    <w:pPr>
      <w:spacing w:after="0" w:line="240" w:lineRule="auto"/>
    </w:pPr>
    <w:rPr>
      <w:rFonts w:ascii="Tahoma" w:eastAsia="Arial Unicode MS" w:hAnsi="Tahoma" w:cs="Times New Roman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865"/>
    <w:rPr>
      <w:rFonts w:ascii="Tahoma" w:eastAsia="Arial Unicode MS" w:hAnsi="Tahoma" w:cs="Times New Roman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786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717865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786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717865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ab">
    <w:name w:val="List Paragraph"/>
    <w:basedOn w:val="a"/>
    <w:uiPriority w:val="34"/>
    <w:qFormat/>
    <w:rsid w:val="0071786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2">
    <w:name w:val="Основной текст2"/>
    <w:basedOn w:val="a"/>
    <w:rsid w:val="0071786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717865"/>
    <w:rPr>
      <w:rFonts w:ascii="Times New Roman" w:hAnsi="Times New Roman" w:cs="Times New Roman" w:hint="default"/>
      <w:sz w:val="22"/>
      <w:szCs w:val="22"/>
    </w:rPr>
  </w:style>
  <w:style w:type="paragraph" w:styleId="ac">
    <w:name w:val="Body Text"/>
    <w:basedOn w:val="a"/>
    <w:link w:val="ad"/>
    <w:rsid w:val="007178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71786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178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page number"/>
    <w:basedOn w:val="a0"/>
    <w:rsid w:val="00717865"/>
  </w:style>
  <w:style w:type="character" w:customStyle="1" w:styleId="HTML">
    <w:name w:val="Стандартный HTML Знак"/>
    <w:basedOn w:val="a0"/>
    <w:link w:val="HTML0"/>
    <w:uiPriority w:val="99"/>
    <w:semiHidden/>
    <w:rsid w:val="00717865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17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17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">
    <w:name w:val="Без интервала1"/>
    <w:rsid w:val="00717865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Strong"/>
    <w:basedOn w:val="a0"/>
    <w:uiPriority w:val="22"/>
    <w:qFormat/>
    <w:rsid w:val="00717865"/>
    <w:rPr>
      <w:b/>
      <w:bCs/>
    </w:rPr>
  </w:style>
  <w:style w:type="character" w:customStyle="1" w:styleId="af0">
    <w:name w:val="Цветовое выделение"/>
    <w:rsid w:val="00717865"/>
    <w:rPr>
      <w:b/>
      <w:bCs/>
      <w:color w:val="26282F"/>
    </w:rPr>
  </w:style>
  <w:style w:type="paragraph" w:customStyle="1" w:styleId="Default">
    <w:name w:val="Default"/>
    <w:rsid w:val="007178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f1">
    <w:name w:val="Table Grid"/>
    <w:basedOn w:val="a1"/>
    <w:rsid w:val="005A06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4260-92EE-4464-A907-77A85586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15</Pages>
  <Words>4128</Words>
  <Characters>23535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Осмольская Олеся Леонидовна</dc:creator>
  <cp:keywords/>
  <dc:description/>
  <cp:lastModifiedBy>Zemleustr</cp:lastModifiedBy>
  <cp:revision>10</cp:revision>
  <cp:lastPrinted>2022-01-21T05:24:00Z</cp:lastPrinted>
  <dcterms:created xsi:type="dcterms:W3CDTF">2019-12-17T14:13:00Z</dcterms:created>
  <dcterms:modified xsi:type="dcterms:W3CDTF">2022-01-21T05:24:00Z</dcterms:modified>
</cp:coreProperties>
</file>